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A9" w:rsidRDefault="001617A9" w:rsidP="001617A9">
      <w:pPr>
        <w:spacing w:after="0"/>
        <w:jc w:val="right"/>
      </w:pPr>
      <w:bookmarkStart w:id="0" w:name="_GoBack"/>
      <w:bookmarkEnd w:id="0"/>
      <w:r>
        <w:t>Homework Assignment #2</w:t>
      </w:r>
    </w:p>
    <w:p w:rsidR="001617A9" w:rsidRDefault="001617A9" w:rsidP="001617A9">
      <w:pPr>
        <w:spacing w:after="0"/>
        <w:jc w:val="right"/>
      </w:pPr>
      <w:r>
        <w:t>Name: __________________________</w:t>
      </w:r>
    </w:p>
    <w:p w:rsidR="001617A9" w:rsidRDefault="001617A9" w:rsidP="001617A9">
      <w:pPr>
        <w:spacing w:after="0" w:line="240" w:lineRule="auto"/>
        <w:contextualSpacing/>
      </w:pPr>
      <w:r>
        <w:t>All calculations should be done in Word using Equation Editor and all charts and graphs should be done in Excel.</w:t>
      </w:r>
    </w:p>
    <w:p w:rsidR="001617A9" w:rsidRDefault="001617A9" w:rsidP="001617A9">
      <w:pPr>
        <w:spacing w:after="0" w:line="240" w:lineRule="auto"/>
        <w:contextualSpacing/>
      </w:pPr>
    </w:p>
    <w:p w:rsidR="000763AB" w:rsidRDefault="000763AB" w:rsidP="000763AB">
      <w:pPr>
        <w:pStyle w:val="Heading1"/>
      </w:pPr>
      <w:r w:rsidRPr="00EB1462">
        <w:t>1</w:t>
      </w:r>
      <w:r>
        <w:t>)</w:t>
      </w:r>
    </w:p>
    <w:p w:rsidR="00287F11" w:rsidRDefault="00287F11" w:rsidP="001617A9">
      <w:pPr>
        <w:spacing w:after="0"/>
      </w:pPr>
      <w:r>
        <w:t>In the judicial case of the United States vs. the City of Chicago, discrimination was charged in a qualifying exam for the position of Fire Captain.</w:t>
      </w:r>
      <w:r w:rsidR="001617A9">
        <w:t xml:space="preserve"> </w:t>
      </w:r>
      <w:r>
        <w:t>In the table below, Group A was the minority and Group B was the majority.</w:t>
      </w:r>
      <w:r w:rsidR="001617A9">
        <w:t xml:space="preserve"> </w:t>
      </w:r>
      <w:r>
        <w:t xml:space="preserve">Use this table to answer questions </w:t>
      </w:r>
      <w:r w:rsidR="008917BA">
        <w:t>a) – e)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15"/>
        <w:gridCol w:w="1215"/>
      </w:tblGrid>
      <w:tr w:rsidR="001617A9" w:rsidRPr="001617A9" w:rsidTr="000E6B65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1617A9" w:rsidRPr="000E6B65" w:rsidRDefault="001617A9" w:rsidP="001617A9">
            <w:pPr>
              <w:contextualSpacing/>
              <w:rPr>
                <w:b/>
                <w:color w:val="FFFFFF" w:themeColor="background1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1617A9" w:rsidRPr="000E6B65" w:rsidRDefault="001617A9" w:rsidP="001617A9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0E6B65">
              <w:rPr>
                <w:b/>
                <w:color w:val="FFFFFF" w:themeColor="background1"/>
              </w:rPr>
              <w:t>Passed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1617A9" w:rsidRPr="000E6B65" w:rsidRDefault="001617A9" w:rsidP="001617A9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0E6B65">
              <w:rPr>
                <w:b/>
                <w:color w:val="FFFFFF" w:themeColor="background1"/>
              </w:rPr>
              <w:t>Failed</w:t>
            </w:r>
          </w:p>
        </w:tc>
      </w:tr>
      <w:tr w:rsidR="001617A9" w:rsidRPr="001617A9" w:rsidTr="001617A9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</w:tcPr>
          <w:p w:rsidR="001617A9" w:rsidRPr="001617A9" w:rsidRDefault="001617A9" w:rsidP="001617A9">
            <w:pPr>
              <w:contextualSpacing/>
            </w:pPr>
            <w:r w:rsidRPr="001617A9">
              <w:t>Group A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1617A9" w:rsidRPr="001617A9" w:rsidRDefault="00C519DA" w:rsidP="001617A9">
            <w:pPr>
              <w:contextualSpacing/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1617A9" w:rsidRPr="001617A9" w:rsidRDefault="00C519DA" w:rsidP="001617A9">
            <w:pPr>
              <w:contextualSpacing/>
              <w:jc w:val="center"/>
            </w:pPr>
            <w:r>
              <w:t>22</w:t>
            </w:r>
          </w:p>
        </w:tc>
      </w:tr>
      <w:tr w:rsidR="001617A9" w:rsidRPr="001617A9" w:rsidTr="000E6B65">
        <w:trPr>
          <w:jc w:val="center"/>
        </w:trPr>
        <w:tc>
          <w:tcPr>
            <w:tcW w:w="1368" w:type="dxa"/>
            <w:shd w:val="clear" w:color="auto" w:fill="EEECE1" w:themeFill="background2"/>
          </w:tcPr>
          <w:p w:rsidR="001617A9" w:rsidRPr="001617A9" w:rsidRDefault="001617A9" w:rsidP="001617A9">
            <w:pPr>
              <w:contextualSpacing/>
            </w:pPr>
            <w:r w:rsidRPr="001617A9">
              <w:t>Group B</w:t>
            </w:r>
          </w:p>
        </w:tc>
        <w:tc>
          <w:tcPr>
            <w:tcW w:w="1215" w:type="dxa"/>
            <w:shd w:val="clear" w:color="auto" w:fill="EEECE1" w:themeFill="background2"/>
          </w:tcPr>
          <w:p w:rsidR="001617A9" w:rsidRPr="001617A9" w:rsidRDefault="00C519DA" w:rsidP="001617A9">
            <w:pPr>
              <w:contextualSpacing/>
              <w:jc w:val="center"/>
            </w:pPr>
            <w:r>
              <w:t>410</w:t>
            </w:r>
          </w:p>
        </w:tc>
        <w:tc>
          <w:tcPr>
            <w:tcW w:w="1215" w:type="dxa"/>
            <w:shd w:val="clear" w:color="auto" w:fill="EEECE1" w:themeFill="background2"/>
          </w:tcPr>
          <w:p w:rsidR="001617A9" w:rsidRPr="001617A9" w:rsidRDefault="00C519DA" w:rsidP="001617A9">
            <w:pPr>
              <w:contextualSpacing/>
              <w:jc w:val="center"/>
            </w:pPr>
            <w:r>
              <w:t>156</w:t>
            </w:r>
          </w:p>
        </w:tc>
      </w:tr>
    </w:tbl>
    <w:p w:rsidR="00287F11" w:rsidRDefault="00287F11" w:rsidP="001617A9">
      <w:pPr>
        <w:spacing w:after="0" w:line="240" w:lineRule="auto"/>
        <w:contextualSpacing/>
      </w:pPr>
    </w:p>
    <w:p w:rsidR="00287F11" w:rsidRDefault="00EB1462" w:rsidP="001617A9">
      <w:pPr>
        <w:spacing w:after="0" w:line="240" w:lineRule="auto"/>
        <w:contextualSpacing/>
      </w:pPr>
      <w:r>
        <w:t>a</w:t>
      </w:r>
      <w:r w:rsidR="00287F11">
        <w:t>) If one of the test subjects is randomly selected, find the probability of getting someone who passed the exam.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287F11" w:rsidRDefault="00EB1462" w:rsidP="001617A9">
      <w:pPr>
        <w:spacing w:after="0" w:line="240" w:lineRule="auto"/>
        <w:contextualSpacing/>
      </w:pPr>
      <w:r>
        <w:t>b</w:t>
      </w:r>
      <w:r w:rsidR="00287F11">
        <w:t xml:space="preserve">) Find the probability of randomly selecting one of the test subjects and getting someone who is in Group B </w:t>
      </w:r>
      <w:r w:rsidR="00287F11" w:rsidRPr="009F68F0">
        <w:rPr>
          <w:b/>
        </w:rPr>
        <w:t>or</w:t>
      </w:r>
      <w:r w:rsidR="00287F11">
        <w:t xml:space="preserve"> passed.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287F11" w:rsidRDefault="00EB1462" w:rsidP="001617A9">
      <w:pPr>
        <w:spacing w:after="0" w:line="240" w:lineRule="auto"/>
        <w:contextualSpacing/>
      </w:pPr>
      <w:r>
        <w:t>c</w:t>
      </w:r>
      <w:r w:rsidR="00287F11">
        <w:t>) Find the probability of randomly selecting two different test subjects and finding that they are both is Group A.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287F11" w:rsidRDefault="00EB1462" w:rsidP="001617A9">
      <w:pPr>
        <w:spacing w:after="0" w:line="240" w:lineRule="auto"/>
        <w:contextualSpacing/>
      </w:pPr>
      <w:r>
        <w:t>d</w:t>
      </w:r>
      <w:r w:rsidR="00287F11">
        <w:t xml:space="preserve">) Find the probability of randomly selecting one of the test subjects and getting someone who is in Group A </w:t>
      </w:r>
      <w:r w:rsidR="00287F11" w:rsidRPr="009F68F0">
        <w:rPr>
          <w:b/>
        </w:rPr>
        <w:t>and</w:t>
      </w:r>
      <w:r w:rsidR="00287F11">
        <w:t xml:space="preserve"> passed the exam.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EB1462" w:rsidRDefault="00EB1462" w:rsidP="001617A9">
      <w:pPr>
        <w:spacing w:after="0" w:line="240" w:lineRule="auto"/>
        <w:contextualSpacing/>
      </w:pPr>
      <w:r>
        <w:t>e</w:t>
      </w:r>
      <w:r w:rsidR="00287F11">
        <w:t>) Find the probability of getting someone who passed, given that the selected person is in Group A.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0763AB" w:rsidRDefault="000763AB" w:rsidP="000763AB">
      <w:pPr>
        <w:pStyle w:val="Heading1"/>
      </w:pPr>
      <w:r>
        <w:lastRenderedPageBreak/>
        <w:t>2)</w:t>
      </w:r>
    </w:p>
    <w:p w:rsidR="00287F11" w:rsidRDefault="0050204E" w:rsidP="001617A9">
      <w:pPr>
        <w:spacing w:after="0" w:line="240" w:lineRule="auto"/>
        <w:contextualSpacing/>
      </w:pPr>
      <w:r>
        <w:t>About 17</w:t>
      </w:r>
      <w:r w:rsidR="00287F11">
        <w:t>% of the population has blue eyes.</w:t>
      </w:r>
      <w:r w:rsidR="001617A9">
        <w:t xml:space="preserve"> </w:t>
      </w:r>
      <w:r w:rsidR="00287F11">
        <w:t>If a person is randomly selected, what is the probability that he or she does not have blue eyes?</w:t>
      </w:r>
      <w:r w:rsidR="001617A9">
        <w:t xml:space="preserve"> </w:t>
      </w:r>
      <w:r w:rsidR="00287F11">
        <w:t>If four different people are randomly selected, what is the probability that they all have blue eyes?</w:t>
      </w:r>
      <w:r w:rsidR="001617A9">
        <w:t xml:space="preserve"> </w:t>
      </w:r>
      <w:r w:rsidR="00287F11">
        <w:t>Would it be unusual to randomly select four people and find that they all have blue eyes?</w:t>
      </w:r>
      <w:r w:rsidR="001617A9">
        <w:t xml:space="preserve"> </w:t>
      </w:r>
      <w:r w:rsidR="00287F11">
        <w:t>Why or why not?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0763AB" w:rsidRDefault="000763AB" w:rsidP="000763AB">
      <w:pPr>
        <w:pStyle w:val="Heading1"/>
      </w:pPr>
      <w:r>
        <w:t>3)</w:t>
      </w:r>
    </w:p>
    <w:p w:rsidR="00EB1462" w:rsidRDefault="00EB1462" w:rsidP="001617A9">
      <w:pPr>
        <w:spacing w:after="0"/>
      </w:pPr>
      <w:r>
        <w:t>You are trying to develop a strategy for investing in two difference stocks.</w:t>
      </w:r>
      <w:r w:rsidR="001617A9">
        <w:t xml:space="preserve"> </w:t>
      </w:r>
      <w:r>
        <w:t xml:space="preserve">The anticipated annual return for a $1,000 investment in each stock under four difference economic conditions has </w:t>
      </w:r>
      <w:r w:rsidR="000017B3">
        <w:t>the following probability distribution: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</w:tblGrid>
      <w:tr w:rsidR="001617A9" w:rsidRPr="001617A9" w:rsidTr="000E6B65">
        <w:trPr>
          <w:jc w:val="center"/>
        </w:trPr>
        <w:tc>
          <w:tcPr>
            <w:tcW w:w="2052" w:type="dxa"/>
            <w:tcBorders>
              <w:bottom w:val="single" w:sz="4" w:space="0" w:color="auto"/>
            </w:tcBorders>
            <w:shd w:val="clear" w:color="auto" w:fill="4A442A" w:themeFill="background2" w:themeFillShade="40"/>
          </w:tcPr>
          <w:p w:rsidR="001617A9" w:rsidRPr="000E6B65" w:rsidRDefault="001617A9" w:rsidP="000E6B65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0E6B65">
              <w:rPr>
                <w:b/>
                <w:color w:val="FFFFFF" w:themeColor="background1"/>
              </w:rPr>
              <w:t>Probability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4A442A" w:themeFill="background2" w:themeFillShade="40"/>
          </w:tcPr>
          <w:p w:rsidR="001617A9" w:rsidRPr="000E6B65" w:rsidRDefault="001617A9" w:rsidP="001617A9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0E6B65">
              <w:rPr>
                <w:b/>
                <w:color w:val="FFFFFF" w:themeColor="background1"/>
              </w:rPr>
              <w:t>Economic Condition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4A442A" w:themeFill="background2" w:themeFillShade="40"/>
          </w:tcPr>
          <w:p w:rsidR="001617A9" w:rsidRPr="000E6B65" w:rsidRDefault="001617A9" w:rsidP="001617A9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0E6B65">
              <w:rPr>
                <w:b/>
                <w:color w:val="FFFFFF" w:themeColor="background1"/>
              </w:rPr>
              <w:t>Returns Stock A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4A442A" w:themeFill="background2" w:themeFillShade="40"/>
          </w:tcPr>
          <w:p w:rsidR="001617A9" w:rsidRPr="000E6B65" w:rsidRDefault="001617A9" w:rsidP="001617A9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0E6B65">
              <w:rPr>
                <w:b/>
                <w:color w:val="FFFFFF" w:themeColor="background1"/>
              </w:rPr>
              <w:t>Returns Stock B</w:t>
            </w:r>
          </w:p>
        </w:tc>
      </w:tr>
      <w:tr w:rsidR="001617A9" w:rsidRPr="001617A9" w:rsidTr="001617A9">
        <w:trPr>
          <w:jc w:val="center"/>
        </w:trPr>
        <w:tc>
          <w:tcPr>
            <w:tcW w:w="2052" w:type="dxa"/>
            <w:tcBorders>
              <w:top w:val="single" w:sz="4" w:space="0" w:color="auto"/>
            </w:tcBorders>
          </w:tcPr>
          <w:p w:rsidR="001617A9" w:rsidRPr="001617A9" w:rsidRDefault="001617A9" w:rsidP="000E6B65">
            <w:pPr>
              <w:contextualSpacing/>
              <w:jc w:val="center"/>
            </w:pPr>
            <w:r w:rsidRPr="001617A9">
              <w:t>0.1</w:t>
            </w:r>
            <w:r w:rsidR="0050204E">
              <w:t>5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1617A9" w:rsidRPr="001617A9" w:rsidRDefault="001617A9" w:rsidP="001617A9">
            <w:pPr>
              <w:contextualSpacing/>
              <w:jc w:val="center"/>
            </w:pPr>
            <w:r w:rsidRPr="001617A9">
              <w:t>Recession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1617A9" w:rsidRPr="001617A9" w:rsidRDefault="001617A9" w:rsidP="001617A9">
            <w:pPr>
              <w:contextualSpacing/>
              <w:jc w:val="center"/>
            </w:pPr>
            <w:r w:rsidRPr="001617A9">
              <w:t>-25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1617A9" w:rsidRPr="001617A9" w:rsidRDefault="001617A9" w:rsidP="001617A9">
            <w:pPr>
              <w:contextualSpacing/>
              <w:jc w:val="center"/>
            </w:pPr>
            <w:r w:rsidRPr="001617A9">
              <w:t>-75</w:t>
            </w:r>
          </w:p>
        </w:tc>
      </w:tr>
      <w:tr w:rsidR="001617A9" w:rsidRPr="001617A9" w:rsidTr="000E6B65">
        <w:trPr>
          <w:jc w:val="center"/>
        </w:trPr>
        <w:tc>
          <w:tcPr>
            <w:tcW w:w="2052" w:type="dxa"/>
            <w:shd w:val="clear" w:color="auto" w:fill="EEECE1" w:themeFill="background2"/>
          </w:tcPr>
          <w:p w:rsidR="001617A9" w:rsidRPr="001617A9" w:rsidRDefault="0050204E" w:rsidP="000E6B65">
            <w:pPr>
              <w:contextualSpacing/>
              <w:jc w:val="center"/>
            </w:pPr>
            <w:r>
              <w:t>0.25</w:t>
            </w:r>
          </w:p>
        </w:tc>
        <w:tc>
          <w:tcPr>
            <w:tcW w:w="2052" w:type="dxa"/>
            <w:shd w:val="clear" w:color="auto" w:fill="EEECE1" w:themeFill="background2"/>
          </w:tcPr>
          <w:p w:rsidR="001617A9" w:rsidRPr="001617A9" w:rsidRDefault="001617A9" w:rsidP="001617A9">
            <w:pPr>
              <w:contextualSpacing/>
              <w:jc w:val="center"/>
            </w:pPr>
            <w:r w:rsidRPr="001617A9">
              <w:t>Slow Growth</w:t>
            </w:r>
          </w:p>
        </w:tc>
        <w:tc>
          <w:tcPr>
            <w:tcW w:w="2052" w:type="dxa"/>
            <w:shd w:val="clear" w:color="auto" w:fill="EEECE1" w:themeFill="background2"/>
          </w:tcPr>
          <w:p w:rsidR="001617A9" w:rsidRPr="001617A9" w:rsidRDefault="001617A9" w:rsidP="001617A9">
            <w:pPr>
              <w:contextualSpacing/>
              <w:jc w:val="center"/>
            </w:pPr>
            <w:r w:rsidRPr="001617A9">
              <w:t>20</w:t>
            </w:r>
          </w:p>
        </w:tc>
        <w:tc>
          <w:tcPr>
            <w:tcW w:w="2052" w:type="dxa"/>
            <w:shd w:val="clear" w:color="auto" w:fill="EEECE1" w:themeFill="background2"/>
          </w:tcPr>
          <w:p w:rsidR="001617A9" w:rsidRPr="001617A9" w:rsidRDefault="001617A9" w:rsidP="001617A9">
            <w:pPr>
              <w:contextualSpacing/>
              <w:jc w:val="center"/>
            </w:pPr>
            <w:r w:rsidRPr="001617A9">
              <w:t>55</w:t>
            </w:r>
          </w:p>
        </w:tc>
      </w:tr>
      <w:tr w:rsidR="001617A9" w:rsidRPr="001617A9" w:rsidTr="001617A9">
        <w:trPr>
          <w:jc w:val="center"/>
        </w:trPr>
        <w:tc>
          <w:tcPr>
            <w:tcW w:w="2052" w:type="dxa"/>
          </w:tcPr>
          <w:p w:rsidR="001617A9" w:rsidRPr="001617A9" w:rsidRDefault="0050204E" w:rsidP="000E6B65">
            <w:pPr>
              <w:contextualSpacing/>
              <w:jc w:val="center"/>
            </w:pPr>
            <w:r>
              <w:t>0.35</w:t>
            </w:r>
          </w:p>
        </w:tc>
        <w:tc>
          <w:tcPr>
            <w:tcW w:w="2052" w:type="dxa"/>
          </w:tcPr>
          <w:p w:rsidR="001617A9" w:rsidRPr="001617A9" w:rsidRDefault="001617A9" w:rsidP="001617A9">
            <w:pPr>
              <w:contextualSpacing/>
              <w:jc w:val="center"/>
            </w:pPr>
            <w:r w:rsidRPr="001617A9">
              <w:t>Moderate Growth</w:t>
            </w:r>
          </w:p>
        </w:tc>
        <w:tc>
          <w:tcPr>
            <w:tcW w:w="2052" w:type="dxa"/>
          </w:tcPr>
          <w:p w:rsidR="001617A9" w:rsidRPr="001617A9" w:rsidRDefault="001617A9" w:rsidP="001617A9">
            <w:pPr>
              <w:contextualSpacing/>
              <w:jc w:val="center"/>
            </w:pPr>
            <w:r w:rsidRPr="001617A9">
              <w:t>100</w:t>
            </w:r>
          </w:p>
        </w:tc>
        <w:tc>
          <w:tcPr>
            <w:tcW w:w="2052" w:type="dxa"/>
          </w:tcPr>
          <w:p w:rsidR="001617A9" w:rsidRPr="001617A9" w:rsidRDefault="001617A9" w:rsidP="001617A9">
            <w:pPr>
              <w:contextualSpacing/>
              <w:jc w:val="center"/>
            </w:pPr>
            <w:r w:rsidRPr="001617A9">
              <w:t>130</w:t>
            </w:r>
          </w:p>
        </w:tc>
      </w:tr>
      <w:tr w:rsidR="001617A9" w:rsidRPr="001617A9" w:rsidTr="000E6B65">
        <w:trPr>
          <w:jc w:val="center"/>
        </w:trPr>
        <w:tc>
          <w:tcPr>
            <w:tcW w:w="2052" w:type="dxa"/>
            <w:shd w:val="clear" w:color="auto" w:fill="EEECE1" w:themeFill="background2"/>
          </w:tcPr>
          <w:p w:rsidR="001617A9" w:rsidRPr="001617A9" w:rsidRDefault="001617A9" w:rsidP="000E6B65">
            <w:pPr>
              <w:contextualSpacing/>
              <w:jc w:val="center"/>
            </w:pPr>
            <w:r w:rsidRPr="001617A9">
              <w:t>0.2</w:t>
            </w:r>
            <w:r w:rsidR="0050204E">
              <w:t>5</w:t>
            </w:r>
          </w:p>
        </w:tc>
        <w:tc>
          <w:tcPr>
            <w:tcW w:w="2052" w:type="dxa"/>
            <w:shd w:val="clear" w:color="auto" w:fill="EEECE1" w:themeFill="background2"/>
          </w:tcPr>
          <w:p w:rsidR="001617A9" w:rsidRPr="001617A9" w:rsidRDefault="001617A9" w:rsidP="001617A9">
            <w:pPr>
              <w:contextualSpacing/>
              <w:jc w:val="center"/>
            </w:pPr>
            <w:r w:rsidRPr="001617A9">
              <w:t>Fast Growth</w:t>
            </w:r>
          </w:p>
        </w:tc>
        <w:tc>
          <w:tcPr>
            <w:tcW w:w="2052" w:type="dxa"/>
            <w:shd w:val="clear" w:color="auto" w:fill="EEECE1" w:themeFill="background2"/>
          </w:tcPr>
          <w:p w:rsidR="001617A9" w:rsidRPr="001617A9" w:rsidRDefault="001617A9" w:rsidP="001617A9">
            <w:pPr>
              <w:contextualSpacing/>
              <w:jc w:val="center"/>
            </w:pPr>
            <w:r w:rsidRPr="001617A9">
              <w:t>150</w:t>
            </w:r>
          </w:p>
        </w:tc>
        <w:tc>
          <w:tcPr>
            <w:tcW w:w="2052" w:type="dxa"/>
            <w:shd w:val="clear" w:color="auto" w:fill="EEECE1" w:themeFill="background2"/>
          </w:tcPr>
          <w:p w:rsidR="001617A9" w:rsidRPr="001617A9" w:rsidRDefault="001617A9" w:rsidP="001617A9">
            <w:pPr>
              <w:contextualSpacing/>
              <w:jc w:val="center"/>
            </w:pPr>
            <w:r w:rsidRPr="001617A9">
              <w:t>200</w:t>
            </w:r>
          </w:p>
        </w:tc>
      </w:tr>
    </w:tbl>
    <w:p w:rsidR="000017B3" w:rsidRDefault="000017B3" w:rsidP="001617A9">
      <w:pPr>
        <w:spacing w:after="0" w:line="240" w:lineRule="auto"/>
        <w:contextualSpacing/>
      </w:pPr>
    </w:p>
    <w:p w:rsidR="000017B3" w:rsidRDefault="000017B3" w:rsidP="001617A9">
      <w:pPr>
        <w:spacing w:after="0" w:line="240" w:lineRule="auto"/>
        <w:contextualSpacing/>
      </w:pPr>
      <w:r>
        <w:t>a) Compute the expected return for Stock A and for Stock B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0017B3" w:rsidRDefault="000017B3" w:rsidP="001617A9">
      <w:pPr>
        <w:spacing w:after="0" w:line="240" w:lineRule="auto"/>
        <w:contextualSpacing/>
      </w:pPr>
      <w:r>
        <w:t>b) Compute the standard deviation for Stock A and for Stock B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066460" w:rsidRDefault="00987D4A" w:rsidP="001617A9">
      <w:pPr>
        <w:spacing w:after="0" w:line="240" w:lineRule="auto"/>
        <w:contextualSpacing/>
      </w:pPr>
      <w:r>
        <w:t>c</w:t>
      </w:r>
      <w:r w:rsidR="000017B3">
        <w:t>) Would you invest in Stock A or Stock B? Explain.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0763AB" w:rsidRDefault="000763AB" w:rsidP="000763AB">
      <w:pPr>
        <w:pStyle w:val="Heading1"/>
      </w:pPr>
      <w:r>
        <w:t>4)</w:t>
      </w:r>
    </w:p>
    <w:p w:rsidR="00493621" w:rsidRDefault="00493621" w:rsidP="001617A9">
      <w:pPr>
        <w:spacing w:after="0" w:line="240" w:lineRule="auto"/>
        <w:contextualSpacing/>
      </w:pPr>
      <w:r>
        <w:t xml:space="preserve">In South Carolina </w:t>
      </w:r>
      <w:r w:rsidR="008917BA">
        <w:t>Palmetto</w:t>
      </w:r>
      <w:r>
        <w:t xml:space="preserve"> Cash </w:t>
      </w:r>
      <w:r w:rsidR="00300FE5">
        <w:t>6</w:t>
      </w:r>
      <w:r>
        <w:t xml:space="preserve"> lottery game, winning the jackpot requir</w:t>
      </w:r>
      <w:r w:rsidR="00987D4A">
        <w:t>es that you select the correct 6 numbers between 1 and 57</w:t>
      </w:r>
      <w:r>
        <w:t>.</w:t>
      </w:r>
      <w:r w:rsidR="001617A9">
        <w:t xml:space="preserve"> </w:t>
      </w:r>
      <w:r>
        <w:t>How</w:t>
      </w:r>
      <w:r w:rsidR="00987D4A">
        <w:t xml:space="preserve"> many different ways can those 6</w:t>
      </w:r>
      <w:r>
        <w:t xml:space="preserve"> numbers be selected?</w:t>
      </w:r>
      <w:r w:rsidR="001617A9">
        <w:t xml:space="preserve"> </w:t>
      </w:r>
      <w:r>
        <w:t>What is the probability for winning the jackpot?</w:t>
      </w:r>
      <w:r w:rsidR="001617A9">
        <w:t xml:space="preserve"> </w:t>
      </w:r>
      <w:r>
        <w:t>Is it unusual for anyone to win the lottery?</w:t>
      </w:r>
      <w:r w:rsidR="001617A9">
        <w:t xml:space="preserve"> </w:t>
      </w:r>
      <w:r>
        <w:t>Explain.</w:t>
      </w:r>
    </w:p>
    <w:p w:rsidR="008917BA" w:rsidRDefault="008917BA" w:rsidP="001617A9">
      <w:pPr>
        <w:spacing w:after="0" w:line="240" w:lineRule="auto"/>
        <w:contextualSpacing/>
      </w:pPr>
      <w:r>
        <w:t>Use Excel to calculate the first question.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0763AB" w:rsidRDefault="000763AB" w:rsidP="000763AB">
      <w:pPr>
        <w:pStyle w:val="Heading1"/>
      </w:pPr>
      <w:r>
        <w:t>5)</w:t>
      </w:r>
    </w:p>
    <w:p w:rsidR="00056FD0" w:rsidRDefault="00056FD0" w:rsidP="001617A9">
      <w:pPr>
        <w:shd w:val="clear" w:color="auto" w:fill="FEFEFE"/>
        <w:spacing w:after="0" w:line="240" w:lineRule="auto"/>
        <w:rPr>
          <w:rFonts w:eastAsia="Times New Roman" w:cstheme="minorHAnsi"/>
          <w:color w:val="000000"/>
        </w:rPr>
      </w:pPr>
      <w:r w:rsidRPr="00056FD0">
        <w:rPr>
          <w:rFonts w:eastAsia="Times New Roman" w:cstheme="minorHAnsi"/>
          <w:color w:val="000000"/>
        </w:rPr>
        <w:t>Sun</w:t>
      </w:r>
      <w:r w:rsidR="00987D4A">
        <w:rPr>
          <w:rFonts w:eastAsia="Times New Roman" w:cstheme="minorHAnsi"/>
          <w:color w:val="000000"/>
        </w:rPr>
        <w:t xml:space="preserve"> Microsystems has 64</w:t>
      </w:r>
      <w:r w:rsidRPr="00684804">
        <w:rPr>
          <w:rFonts w:eastAsia="Times New Roman" w:cstheme="minorHAnsi"/>
          <w:color w:val="000000"/>
        </w:rPr>
        <w:t>% of the market for high-end Unix machine, with its closest competitor being IBM.</w:t>
      </w:r>
      <w:r w:rsidR="001617A9">
        <w:rPr>
          <w:rFonts w:eastAsia="Times New Roman" w:cstheme="minorHAnsi"/>
          <w:color w:val="000000"/>
        </w:rPr>
        <w:t xml:space="preserve"> </w:t>
      </w:r>
      <w:r w:rsidR="00987D4A">
        <w:rPr>
          <w:rFonts w:eastAsia="Times New Roman" w:cstheme="minorHAnsi"/>
          <w:color w:val="000000"/>
        </w:rPr>
        <w:t>Suppose 17</w:t>
      </w:r>
      <w:r w:rsidRPr="00684804">
        <w:rPr>
          <w:rFonts w:eastAsia="Times New Roman" w:cstheme="minorHAnsi"/>
          <w:color w:val="000000"/>
        </w:rPr>
        <w:t xml:space="preserve"> corporations were in the market to purchase a high-end Unix machine.</w:t>
      </w:r>
      <w:r w:rsidR="001617A9">
        <w:rPr>
          <w:rFonts w:eastAsia="Times New Roman" w:cstheme="minorHAnsi"/>
          <w:color w:val="000000"/>
        </w:rPr>
        <w:t xml:space="preserve"> </w:t>
      </w:r>
    </w:p>
    <w:p w:rsidR="00F525D6" w:rsidRPr="00684804" w:rsidRDefault="00F525D6" w:rsidP="001617A9">
      <w:pPr>
        <w:shd w:val="clear" w:color="auto" w:fill="FEFEFE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Use Excel to answer b) – d) (Hint: Assume a Binomial Distribution) </w:t>
      </w:r>
    </w:p>
    <w:p w:rsidR="00056FD0" w:rsidRPr="00684804" w:rsidRDefault="00056FD0" w:rsidP="001617A9">
      <w:pPr>
        <w:shd w:val="clear" w:color="auto" w:fill="FEFEFE"/>
        <w:spacing w:after="0" w:line="240" w:lineRule="auto"/>
        <w:rPr>
          <w:rFonts w:eastAsia="Times New Roman" w:cstheme="minorHAnsi"/>
          <w:color w:val="000000"/>
        </w:rPr>
      </w:pPr>
    </w:p>
    <w:p w:rsidR="00056FD0" w:rsidRDefault="007A29E1" w:rsidP="001617A9">
      <w:pPr>
        <w:shd w:val="clear" w:color="auto" w:fill="FEFEFE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</w:t>
      </w:r>
      <w:r w:rsidR="00056FD0" w:rsidRPr="00684804">
        <w:rPr>
          <w:rFonts w:eastAsia="Times New Roman" w:cstheme="minorHAnsi"/>
          <w:color w:val="000000"/>
        </w:rPr>
        <w:t>) How many Unix machines would Sun Microsystems “expect” to sell?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056FD0" w:rsidRDefault="007A29E1" w:rsidP="001617A9">
      <w:pPr>
        <w:shd w:val="clear" w:color="auto" w:fill="FEFEFE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</w:t>
      </w:r>
      <w:r w:rsidR="00056FD0" w:rsidRPr="00684804">
        <w:rPr>
          <w:rFonts w:eastAsia="Times New Roman" w:cstheme="minorHAnsi"/>
          <w:color w:val="000000"/>
        </w:rPr>
        <w:t>) What i</w:t>
      </w:r>
      <w:r>
        <w:rPr>
          <w:rFonts w:eastAsia="Times New Roman" w:cstheme="minorHAnsi"/>
          <w:color w:val="000000"/>
        </w:rPr>
        <w:t>s the probability that exactly 7</w:t>
      </w:r>
      <w:r w:rsidR="00056FD0" w:rsidRPr="00684804">
        <w:rPr>
          <w:rFonts w:eastAsia="Times New Roman" w:cstheme="minorHAnsi"/>
          <w:color w:val="000000"/>
        </w:rPr>
        <w:t xml:space="preserve"> corporations purchase a Unix machine, from Sun Microsystems?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056FD0" w:rsidRDefault="007A29E1" w:rsidP="001617A9">
      <w:pPr>
        <w:shd w:val="clear" w:color="auto" w:fill="FEFEFE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</w:t>
      </w:r>
      <w:r w:rsidR="00056FD0" w:rsidRPr="00684804">
        <w:rPr>
          <w:rFonts w:eastAsia="Times New Roman" w:cstheme="minorHAnsi"/>
          <w:color w:val="000000"/>
        </w:rPr>
        <w:t xml:space="preserve">) What is </w:t>
      </w:r>
      <w:r w:rsidR="00987D4A">
        <w:rPr>
          <w:rFonts w:eastAsia="Times New Roman" w:cstheme="minorHAnsi"/>
          <w:color w:val="000000"/>
        </w:rPr>
        <w:t xml:space="preserve">the probability that less than 11 </w:t>
      </w:r>
      <w:r w:rsidR="00056FD0" w:rsidRPr="00684804">
        <w:rPr>
          <w:rFonts w:eastAsia="Times New Roman" w:cstheme="minorHAnsi"/>
          <w:color w:val="000000"/>
        </w:rPr>
        <w:t>corporations purchase a Unix machine from Sun Microsystems?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7A29E1" w:rsidRDefault="007A29E1" w:rsidP="001617A9">
      <w:pPr>
        <w:shd w:val="clear" w:color="auto" w:fill="FEFEFE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d) What is the probability that 9 or more corporations purchase a Unix Machine from Sun Microsystems?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0763AB" w:rsidRDefault="000763AB" w:rsidP="000763AB">
      <w:pPr>
        <w:pStyle w:val="Heading1"/>
      </w:pPr>
      <w:r>
        <w:t>6)</w:t>
      </w:r>
    </w:p>
    <w:p w:rsidR="00BF5C6A" w:rsidRDefault="00BF5C6A" w:rsidP="001617A9">
      <w:pPr>
        <w:spacing w:after="0" w:line="240" w:lineRule="auto"/>
        <w:contextualSpacing/>
      </w:pPr>
      <w:r>
        <w:t xml:space="preserve">Dutchess County, New York, has </w:t>
      </w:r>
      <w:r w:rsidR="00987D4A">
        <w:t>been experiencing a mean of 67</w:t>
      </w:r>
      <w:r>
        <w:t xml:space="preserve"> motor vehicle deaths each year.</w:t>
      </w:r>
    </w:p>
    <w:p w:rsidR="0054267F" w:rsidRDefault="0054267F" w:rsidP="001617A9">
      <w:pPr>
        <w:spacing w:after="0" w:line="240" w:lineRule="auto"/>
        <w:contextualSpacing/>
      </w:pPr>
      <w:r>
        <w:t xml:space="preserve">Use Excel to answer a – c) </w:t>
      </w:r>
      <w:r w:rsidR="00F525D6">
        <w:t>(Hint: Assume a Poisson Distribution)</w:t>
      </w:r>
    </w:p>
    <w:p w:rsidR="00F525D6" w:rsidRDefault="00F525D6" w:rsidP="001617A9">
      <w:pPr>
        <w:spacing w:after="0"/>
      </w:pPr>
    </w:p>
    <w:p w:rsidR="00BF5C6A" w:rsidRDefault="00BF5C6A" w:rsidP="001617A9">
      <w:pPr>
        <w:spacing w:after="0"/>
      </w:pPr>
      <w:r>
        <w:t>a) Find the mean number of deaths per day.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BF5C6A" w:rsidRDefault="00BF5C6A" w:rsidP="001617A9">
      <w:pPr>
        <w:spacing w:after="0"/>
      </w:pPr>
      <w:r>
        <w:t xml:space="preserve">b) Find the probability that on </w:t>
      </w:r>
      <w:r w:rsidR="00987D4A">
        <w:t>a given day, there are</w:t>
      </w:r>
      <w:r>
        <w:t xml:space="preserve"> 2</w:t>
      </w:r>
      <w:r w:rsidR="00987D4A">
        <w:t xml:space="preserve"> or more</w:t>
      </w:r>
      <w:r>
        <w:t xml:space="preserve"> motor vehicle deaths.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p w:rsidR="00BF5C6A" w:rsidRDefault="00BF5C6A" w:rsidP="001617A9">
      <w:pPr>
        <w:spacing w:after="0"/>
      </w:pPr>
      <w:r>
        <w:t>c) Find the probability that on a given day, there are no motor vehicle deaths.</w:t>
      </w:r>
    </w:p>
    <w:p w:rsidR="0023472E" w:rsidRDefault="0023472E" w:rsidP="0023472E">
      <w:pPr>
        <w:spacing w:after="0" w:line="240" w:lineRule="auto"/>
        <w:contextualSpacing/>
      </w:pPr>
    </w:p>
    <w:p w:rsidR="0023472E" w:rsidRPr="00AE3E74" w:rsidRDefault="0023472E" w:rsidP="0023472E">
      <w:pPr>
        <w:tabs>
          <w:tab w:val="right" w:pos="9360"/>
        </w:tabs>
        <w:spacing w:after="0" w:line="240" w:lineRule="auto"/>
        <w:contextualSpacing/>
        <w:rPr>
          <w:u w:val="single"/>
        </w:rPr>
      </w:pPr>
      <w:r w:rsidRPr="00AE3E74">
        <w:rPr>
          <w:u w:val="single"/>
        </w:rPr>
        <w:tab/>
      </w:r>
    </w:p>
    <w:p w:rsidR="0023472E" w:rsidRDefault="0023472E" w:rsidP="0023472E">
      <w:pPr>
        <w:spacing w:after="0" w:line="240" w:lineRule="auto"/>
        <w:contextualSpacing/>
      </w:pPr>
    </w:p>
    <w:p w:rsidR="0023472E" w:rsidRDefault="0023472E" w:rsidP="0023472E">
      <w:pPr>
        <w:spacing w:after="0" w:line="240" w:lineRule="auto"/>
        <w:contextualSpacing/>
      </w:pPr>
    </w:p>
    <w:sectPr w:rsidR="0023472E" w:rsidSect="0008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1"/>
    <w:rsid w:val="000017B3"/>
    <w:rsid w:val="00056FD0"/>
    <w:rsid w:val="00066460"/>
    <w:rsid w:val="000763AB"/>
    <w:rsid w:val="00081EDD"/>
    <w:rsid w:val="000E6B65"/>
    <w:rsid w:val="001617A9"/>
    <w:rsid w:val="0023472E"/>
    <w:rsid w:val="00265717"/>
    <w:rsid w:val="00287F11"/>
    <w:rsid w:val="002B07A2"/>
    <w:rsid w:val="00300653"/>
    <w:rsid w:val="00300FE5"/>
    <w:rsid w:val="00493621"/>
    <w:rsid w:val="0050204E"/>
    <w:rsid w:val="0050678E"/>
    <w:rsid w:val="0054267F"/>
    <w:rsid w:val="00733C67"/>
    <w:rsid w:val="007A29E1"/>
    <w:rsid w:val="007F70B8"/>
    <w:rsid w:val="008917BA"/>
    <w:rsid w:val="008B47CB"/>
    <w:rsid w:val="009735AF"/>
    <w:rsid w:val="00987D4A"/>
    <w:rsid w:val="009A441C"/>
    <w:rsid w:val="00B340C2"/>
    <w:rsid w:val="00BF5C6A"/>
    <w:rsid w:val="00C519DA"/>
    <w:rsid w:val="00D61DC1"/>
    <w:rsid w:val="00D82D92"/>
    <w:rsid w:val="00DC0173"/>
    <w:rsid w:val="00E56D30"/>
    <w:rsid w:val="00EB1462"/>
    <w:rsid w:val="00F46C8D"/>
    <w:rsid w:val="00F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F5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6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F5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6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Ashmore</dc:creator>
  <cp:lastModifiedBy>Blake Ashmore</cp:lastModifiedBy>
  <cp:revision>2</cp:revision>
  <dcterms:created xsi:type="dcterms:W3CDTF">2015-01-16T16:12:00Z</dcterms:created>
  <dcterms:modified xsi:type="dcterms:W3CDTF">2015-01-16T16:12:00Z</dcterms:modified>
</cp:coreProperties>
</file>